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numPr>
          <w:ilvl w:val="2"/>
          <w:numId w:val="0"/>
        </w:numPr>
        <w:spacing w:before="0" w:after="0"/>
        <w:ind w:firstLine="880" w:firstLineChars="200"/>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“三级认定、两级公示”</w:t>
      </w:r>
    </w:p>
    <w:p>
      <w:pPr>
        <w:pStyle w:val="4"/>
        <w:numPr>
          <w:ilvl w:val="2"/>
          <w:numId w:val="0"/>
        </w:numPr>
        <w:spacing w:before="0" w:after="0"/>
        <w:rPr>
          <w:rFonts w:hint="eastAsia" w:ascii="仿宋" w:hAnsi="仿宋" w:eastAsia="仿宋" w:cs="仿宋"/>
          <w:sz w:val="32"/>
          <w:szCs w:val="32"/>
          <w:lang w:val="en-US" w:eastAsia="zh-CN"/>
        </w:rPr>
      </w:pPr>
    </w:p>
    <w:p>
      <w:pPr>
        <w:pStyle w:val="4"/>
        <w:numPr>
          <w:ilvl w:val="2"/>
          <w:numId w:val="0"/>
        </w:numPr>
        <w:spacing w:before="0" w:after="0"/>
        <w:ind w:firstLine="640" w:firstLineChars="200"/>
        <w:rPr>
          <w:rFonts w:hint="eastAsia" w:ascii="仿宋" w:hAnsi="仿宋" w:eastAsia="仿宋" w:cs="仿宋"/>
          <w:color w:val="0000FF"/>
          <w:sz w:val="32"/>
          <w:szCs w:val="32"/>
        </w:rPr>
      </w:pPr>
      <w:r>
        <w:rPr>
          <w:rFonts w:hint="eastAsia" w:ascii="仿宋" w:hAnsi="仿宋" w:eastAsia="仿宋" w:cs="仿宋"/>
          <w:sz w:val="32"/>
          <w:szCs w:val="32"/>
          <w:lang w:val="en-US" w:eastAsia="zh-CN"/>
        </w:rPr>
        <w:t>三级认定包括：</w:t>
      </w:r>
      <w:r>
        <w:rPr>
          <w:rFonts w:hint="eastAsia" w:ascii="仿宋" w:hAnsi="仿宋" w:eastAsia="仿宋" w:cs="仿宋"/>
          <w:color w:val="0000FF"/>
          <w:sz w:val="32"/>
          <w:szCs w:val="32"/>
        </w:rPr>
        <w:t>学生资助工作领导小组、认定小组、评议小组。</w:t>
      </w:r>
    </w:p>
    <w:p>
      <w:pPr>
        <w:pStyle w:val="4"/>
        <w:numPr>
          <w:ilvl w:val="0"/>
          <w:numId w:val="2"/>
        </w:numPr>
        <w:spacing w:before="0" w:after="0"/>
        <w:ind w:firstLine="640" w:firstLineChars="200"/>
        <w:rPr>
          <w:rFonts w:hint="eastAsia" w:ascii="仿宋" w:hAnsi="仿宋" w:eastAsia="仿宋" w:cs="仿宋"/>
          <w:sz w:val="32"/>
          <w:szCs w:val="32"/>
        </w:rPr>
      </w:pPr>
      <w:r>
        <w:rPr>
          <w:rFonts w:hint="eastAsia" w:ascii="仿宋" w:hAnsi="仿宋" w:eastAsia="仿宋" w:cs="仿宋"/>
          <w:color w:val="0000FF"/>
          <w:sz w:val="32"/>
          <w:szCs w:val="32"/>
        </w:rPr>
        <w:t>学生资助工作领导小组</w:t>
      </w:r>
      <w:r>
        <w:rPr>
          <w:rFonts w:hint="eastAsia" w:ascii="仿宋" w:hAnsi="仿宋" w:eastAsia="仿宋" w:cs="仿宋"/>
          <w:sz w:val="32"/>
          <w:szCs w:val="32"/>
        </w:rPr>
        <w:t>，由校长任组长。</w:t>
      </w:r>
    </w:p>
    <w:p>
      <w:pPr>
        <w:pStyle w:val="4"/>
        <w:numPr>
          <w:ilvl w:val="2"/>
          <w:numId w:val="0"/>
        </w:numPr>
        <w:spacing w:before="0" w:after="0"/>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2、</w:t>
      </w:r>
      <w:r>
        <w:rPr>
          <w:rFonts w:hint="eastAsia" w:ascii="仿宋" w:hAnsi="仿宋" w:eastAsia="仿宋" w:cs="仿宋"/>
          <w:color w:val="0000FF"/>
          <w:sz w:val="32"/>
          <w:szCs w:val="32"/>
        </w:rPr>
        <w:t>认定小组</w:t>
      </w:r>
      <w:r>
        <w:rPr>
          <w:rFonts w:hint="eastAsia" w:ascii="仿宋" w:hAnsi="仿宋" w:eastAsia="仿宋" w:cs="仿宋"/>
          <w:sz w:val="32"/>
          <w:szCs w:val="32"/>
        </w:rPr>
        <w:t>，高等学校由院（系）主要负责人任组长，中等职业学校（含技工学校）、技师学院、普通中小学、幼儿园由年级(专业、系)主要负责人任组长。</w:t>
      </w:r>
    </w:p>
    <w:p>
      <w:pPr>
        <w:pStyle w:val="4"/>
        <w:numPr>
          <w:ilvl w:val="2"/>
          <w:numId w:val="0"/>
        </w:numPr>
        <w:ind w:firstLine="640" w:firstLineChars="200"/>
        <w:rPr>
          <w:rFonts w:hint="eastAsia" w:ascii="仿宋" w:hAnsi="仿宋" w:eastAsia="仿宋" w:cs="仿宋"/>
          <w:sz w:val="32"/>
          <w:szCs w:val="32"/>
        </w:rPr>
      </w:pPr>
      <w:r>
        <w:rPr>
          <w:rFonts w:hint="eastAsia" w:ascii="仿宋" w:hAnsi="仿宋" w:eastAsia="仿宋" w:cs="仿宋"/>
          <w:sz w:val="32"/>
          <w:szCs w:val="32"/>
          <w:lang w:val="en-US" w:eastAsia="zh-CN"/>
        </w:rPr>
        <w:t>3、</w:t>
      </w:r>
      <w:r>
        <w:rPr>
          <w:rFonts w:hint="eastAsia" w:ascii="仿宋" w:hAnsi="仿宋" w:eastAsia="仿宋" w:cs="仿宋"/>
          <w:color w:val="0000FF"/>
          <w:sz w:val="32"/>
          <w:szCs w:val="32"/>
        </w:rPr>
        <w:t>评议小组</w:t>
      </w:r>
      <w:r>
        <w:rPr>
          <w:rFonts w:hint="eastAsia" w:ascii="仿宋" w:hAnsi="仿宋" w:eastAsia="仿宋" w:cs="仿宋"/>
          <w:sz w:val="32"/>
          <w:szCs w:val="32"/>
        </w:rPr>
        <w:t>，高等学校以年级（专业或班级）为单位，由辅导员任组长，学生代表担任成员，学生代表人数应不低于年级（专业或班级）总人数的10%；中等职业学校（含技工学校）、技师学院、普通中小学、幼儿园以班级为单位，由班主任任组长，任课教师、学生代表或家长代表担任成员，学生代表或家长代表人数合理配置，一般不低于班级人数的10%。评议对象不应作为评议小组成员。</w:t>
      </w:r>
    </w:p>
    <w:p>
      <w:pPr>
        <w:pStyle w:val="4"/>
        <w:numPr>
          <w:ilvl w:val="2"/>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学生资助工作领导小组负责家庭经济困难学生认定工作的领导和监督。</w:t>
      </w:r>
    </w:p>
    <w:p>
      <w:pPr>
        <w:pStyle w:val="4"/>
        <w:numPr>
          <w:ilvl w:val="2"/>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学生资助管理部门承担领导小组办公室的职能，负责认定工作的组织和管理。</w:t>
      </w:r>
    </w:p>
    <w:p>
      <w:pPr>
        <w:pStyle w:val="4"/>
        <w:numPr>
          <w:ilvl w:val="2"/>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认定小组负责认定工作的具体组织和审核。</w:t>
      </w:r>
    </w:p>
    <w:p>
      <w:pPr>
        <w:pStyle w:val="4"/>
        <w:numPr>
          <w:ilvl w:val="2"/>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评议小组负责认定工作的民主评议。</w:t>
      </w:r>
    </w:p>
    <w:p>
      <w:pPr>
        <w:pStyle w:val="4"/>
        <w:numPr>
          <w:ilvl w:val="2"/>
          <w:numId w:val="0"/>
        </w:numPr>
        <w:ind w:firstLine="640" w:firstLineChars="200"/>
        <w:rPr>
          <w:rFonts w:hint="eastAsia" w:ascii="仿宋" w:hAnsi="仿宋" w:eastAsia="仿宋" w:cs="仿宋"/>
          <w:color w:val="0000FF"/>
          <w:sz w:val="32"/>
          <w:szCs w:val="32"/>
          <w:lang w:val="en-US" w:eastAsia="zh-CN"/>
        </w:rPr>
      </w:pPr>
      <w:r>
        <w:rPr>
          <w:rFonts w:hint="eastAsia" w:ascii="仿宋" w:hAnsi="仿宋" w:eastAsia="仿宋" w:cs="仿宋"/>
          <w:color w:val="0000FF"/>
          <w:sz w:val="32"/>
          <w:szCs w:val="32"/>
          <w:lang w:val="en-US" w:eastAsia="zh-CN"/>
        </w:rPr>
        <w:t>“两级</w:t>
      </w:r>
      <w:r>
        <w:rPr>
          <w:rFonts w:hint="eastAsia" w:ascii="仿宋" w:hAnsi="仿宋" w:eastAsia="仿宋" w:cs="仿宋"/>
          <w:color w:val="0000FF"/>
          <w:sz w:val="32"/>
          <w:szCs w:val="32"/>
        </w:rPr>
        <w:t>公示</w:t>
      </w:r>
      <w:r>
        <w:rPr>
          <w:rFonts w:hint="eastAsia" w:ascii="仿宋" w:hAnsi="仿宋" w:eastAsia="仿宋" w:cs="仿宋"/>
          <w:color w:val="0000FF"/>
          <w:sz w:val="32"/>
          <w:szCs w:val="32"/>
          <w:lang w:val="en-US" w:eastAsia="zh-CN"/>
        </w:rPr>
        <w:t>”</w:t>
      </w:r>
    </w:p>
    <w:p>
      <w:pPr>
        <w:pStyle w:val="4"/>
        <w:numPr>
          <w:ilvl w:val="2"/>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评议小组收集学生或监护人提交的相关证明家庭经济困难情况的相关材料，结合学生日常消费行为等因素，确定家庭经济困难学生资格，并按困难程度进行排序，报认定小组审核。</w:t>
      </w:r>
    </w:p>
    <w:p>
      <w:pPr>
        <w:pStyle w:val="4"/>
        <w:numPr>
          <w:ilvl w:val="2"/>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认定小组汇总、审核评议小组提交的初步评议结果，统筹各评议小组家庭经济困难学生情况，初步确定家庭经济困难学生认定名单及档次，</w:t>
      </w:r>
      <w:r>
        <w:rPr>
          <w:rFonts w:hint="eastAsia" w:ascii="仿宋" w:hAnsi="仿宋" w:eastAsia="仿宋" w:cs="仿宋"/>
          <w:color w:val="0000FF"/>
          <w:sz w:val="32"/>
          <w:szCs w:val="32"/>
        </w:rPr>
        <w:t>并以适当方式、在适当范围内公示。公示时，严禁</w:t>
      </w:r>
      <w:bookmarkStart w:id="0" w:name="_GoBack"/>
      <w:bookmarkEnd w:id="0"/>
      <w:r>
        <w:rPr>
          <w:rFonts w:hint="eastAsia" w:ascii="仿宋" w:hAnsi="仿宋" w:eastAsia="仿宋" w:cs="仿宋"/>
          <w:color w:val="0000FF"/>
          <w:sz w:val="32"/>
          <w:szCs w:val="32"/>
        </w:rPr>
        <w:t>涉及学生个人敏感信息及隐私。</w:t>
      </w:r>
    </w:p>
    <w:p>
      <w:pPr>
        <w:pStyle w:val="4"/>
        <w:numPr>
          <w:ilvl w:val="2"/>
          <w:numId w:val="0"/>
        </w:numPr>
        <w:ind w:firstLine="640" w:firstLineChars="200"/>
        <w:rPr>
          <w:rFonts w:hint="eastAsia" w:ascii="仿宋" w:hAnsi="仿宋" w:eastAsia="仿宋" w:cs="仿宋"/>
          <w:color w:val="0000FF"/>
          <w:sz w:val="32"/>
          <w:szCs w:val="32"/>
        </w:rPr>
      </w:pPr>
      <w:r>
        <w:rPr>
          <w:rFonts w:hint="eastAsia" w:ascii="仿宋" w:hAnsi="仿宋" w:eastAsia="仿宋" w:cs="仿宋"/>
          <w:sz w:val="32"/>
          <w:szCs w:val="32"/>
        </w:rPr>
        <w:t>学校学生资助管理部门汇总、审核认定小组提交的初步认定结果，统筹各认定小组家庭经济困难学生情况，对家庭经济困难学生认定档次予以适当调整，</w:t>
      </w:r>
      <w:r>
        <w:rPr>
          <w:rFonts w:hint="eastAsia" w:ascii="仿宋" w:hAnsi="仿宋" w:eastAsia="仿宋" w:cs="仿宋"/>
          <w:color w:val="0000FF"/>
          <w:sz w:val="32"/>
          <w:szCs w:val="32"/>
        </w:rPr>
        <w:t>并以适当方式在适当范围内公示不少于5个工作日。</w:t>
      </w:r>
    </w:p>
    <w:p>
      <w:pPr>
        <w:pStyle w:val="4"/>
        <w:numPr>
          <w:ilvl w:val="2"/>
          <w:numId w:val="0"/>
        </w:numPr>
        <w:ind w:firstLine="640" w:firstLineChars="200"/>
        <w:rPr>
          <w:rFonts w:hint="eastAsia" w:ascii="仿宋" w:hAnsi="仿宋" w:eastAsia="仿宋" w:cs="仿宋"/>
          <w:sz w:val="32"/>
          <w:szCs w:val="32"/>
        </w:rPr>
      </w:pPr>
      <w:r>
        <w:rPr>
          <w:rFonts w:hint="eastAsia" w:ascii="仿宋" w:hAnsi="仿宋" w:eastAsia="仿宋" w:cs="仿宋"/>
          <w:sz w:val="32"/>
          <w:szCs w:val="32"/>
        </w:rPr>
        <w:t>学校学生资助工作领导小组审核、批准家庭经济困难学生名单及档次。</w:t>
      </w:r>
    </w:p>
    <w:p>
      <w:pPr>
        <w:pStyle w:val="4"/>
        <w:numPr>
          <w:ilvl w:val="2"/>
          <w:numId w:val="0"/>
        </w:numPr>
        <w:ind w:firstLine="640" w:firstLineChars="200"/>
        <w:rPr>
          <w:rFonts w:hint="eastAsia" w:ascii="仿宋" w:hAnsi="仿宋" w:eastAsia="仿宋" w:cs="仿宋"/>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00000000000000000"/>
    <w:charset w:val="86"/>
    <w:family w:val="auto"/>
    <w:pitch w:val="default"/>
    <w:sig w:usb0="A00002BF" w:usb1="184F6CFA" w:usb2="00000012" w:usb3="00000000" w:csb0="00040001"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B58DC0C"/>
    <w:multiLevelType w:val="singleLevel"/>
    <w:tmpl w:val="EB58DC0C"/>
    <w:lvl w:ilvl="0" w:tentative="0">
      <w:start w:val="1"/>
      <w:numFmt w:val="decimal"/>
      <w:suff w:val="nothing"/>
      <w:lvlText w:val="%1、"/>
      <w:lvlJc w:val="left"/>
    </w:lvl>
  </w:abstractNum>
  <w:abstractNum w:abstractNumId="1">
    <w:nsid w:val="1FC91163"/>
    <w:multiLevelType w:val="multilevel"/>
    <w:tmpl w:val="1FC91163"/>
    <w:lvl w:ilvl="0" w:tentative="0">
      <w:start w:val="1"/>
      <w:numFmt w:val="decimal"/>
      <w:suff w:val="nothing"/>
      <w:lvlText w:val="%1　"/>
      <w:lvlJc w:val="left"/>
      <w:rPr>
        <w:rFonts w:hint="eastAsia" w:ascii="黑体" w:hAnsi="Times New Roman" w:eastAsia="黑体" w:cs="Times New Roman"/>
        <w:b w:val="0"/>
        <w:i w:val="0"/>
        <w:sz w:val="21"/>
        <w:szCs w:val="21"/>
      </w:rPr>
    </w:lvl>
    <w:lvl w:ilvl="1" w:tentative="0">
      <w:start w:val="1"/>
      <w:numFmt w:val="decimal"/>
      <w:pStyle w:val="6"/>
      <w:suff w:val="nothing"/>
      <w:lvlText w:val="%1.%2　"/>
      <w:lvlJc w:val="left"/>
      <w:rPr>
        <w:rFonts w:hint="eastAsia" w:ascii="黑体" w:hAnsi="Times New Roman" w:eastAsia="黑体" w:cs="Times New Roman"/>
        <w:b w:val="0"/>
        <w:bCs w:val="0"/>
        <w:i w:val="0"/>
        <w:iCs w:val="0"/>
        <w:caps w:val="0"/>
        <w:strike w:val="0"/>
        <w:dstrike w:val="0"/>
        <w:vanish w:val="0"/>
        <w:spacing w:val="0"/>
        <w:kern w:val="0"/>
        <w:position w:val="0"/>
        <w:sz w:val="21"/>
        <w:szCs w:val="21"/>
        <w:u w:val="none"/>
        <w:vertAlign w:val="baseline"/>
      </w:rPr>
    </w:lvl>
    <w:lvl w:ilvl="2" w:tentative="0">
      <w:start w:val="1"/>
      <w:numFmt w:val="decimal"/>
      <w:pStyle w:val="5"/>
      <w:suff w:val="nothing"/>
      <w:lvlText w:val="%1.%2.%3　"/>
      <w:lvlJc w:val="left"/>
      <w:rPr>
        <w:rFonts w:hint="eastAsia" w:ascii="黑体" w:hAnsi="Times New Roman" w:eastAsia="黑体" w:cs="Times New Roman"/>
        <w:b w:val="0"/>
        <w:i w:val="0"/>
        <w:sz w:val="21"/>
      </w:rPr>
    </w:lvl>
    <w:lvl w:ilvl="3" w:tentative="0">
      <w:start w:val="1"/>
      <w:numFmt w:val="decimal"/>
      <w:suff w:val="nothing"/>
      <w:lvlText w:val="%1.%2.%3.%4　"/>
      <w:lvlJc w:val="left"/>
      <w:rPr>
        <w:rFonts w:hint="eastAsia" w:ascii="黑体" w:hAnsi="Times New Roman" w:eastAsia="黑体" w:cs="Times New Roman"/>
        <w:b w:val="0"/>
        <w:i w:val="0"/>
        <w:sz w:val="21"/>
      </w:rPr>
    </w:lvl>
    <w:lvl w:ilvl="4" w:tentative="0">
      <w:start w:val="1"/>
      <w:numFmt w:val="decimal"/>
      <w:suff w:val="nothing"/>
      <w:lvlText w:val="%1.%2.%3.%4.%5　"/>
      <w:lvlJc w:val="left"/>
      <w:rPr>
        <w:rFonts w:hint="eastAsia" w:ascii="黑体" w:hAnsi="Times New Roman" w:eastAsia="黑体" w:cs="Times New Roman"/>
        <w:b w:val="0"/>
        <w:i w:val="0"/>
        <w:sz w:val="21"/>
      </w:rPr>
    </w:lvl>
    <w:lvl w:ilvl="5" w:tentative="0">
      <w:start w:val="1"/>
      <w:numFmt w:val="decimal"/>
      <w:suff w:val="nothing"/>
      <w:lvlText w:val="%1.%2.%3.%4.%5.%6　"/>
      <w:lvlJc w:val="left"/>
      <w:rPr>
        <w:rFonts w:hint="eastAsia" w:ascii="黑体" w:hAnsi="Times New Roman" w:eastAsia="黑体" w:cs="Times New Roman"/>
        <w:b w:val="0"/>
        <w:i w:val="0"/>
        <w:sz w:val="21"/>
      </w:rPr>
    </w:lvl>
    <w:lvl w:ilvl="6" w:tentative="0">
      <w:start w:val="1"/>
      <w:numFmt w:val="decimal"/>
      <w:suff w:val="nothing"/>
      <w:lvlText w:val="%1%2.%3.%4.%5.%6.%7　"/>
      <w:lvlJc w:val="left"/>
      <w:rPr>
        <w:rFonts w:hint="eastAsia" w:ascii="黑体" w:hAnsi="Times New Roman" w:eastAsia="黑体" w:cs="Times New Roman"/>
        <w:b w:val="0"/>
        <w:i w:val="0"/>
        <w:sz w:val="21"/>
      </w:rPr>
    </w:lvl>
    <w:lvl w:ilvl="7" w:tentative="0">
      <w:start w:val="1"/>
      <w:numFmt w:val="decimal"/>
      <w:lvlText w:val="%1.%2.%3.%4.%5.%6.%7.%8"/>
      <w:lvlJc w:val="left"/>
      <w:pPr>
        <w:tabs>
          <w:tab w:val="left" w:pos="4351"/>
        </w:tabs>
        <w:ind w:left="3969" w:hanging="1418"/>
      </w:pPr>
      <w:rPr>
        <w:rFonts w:hint="eastAsia" w:cs="Times New Roman"/>
      </w:rPr>
    </w:lvl>
    <w:lvl w:ilvl="8" w:tentative="0">
      <w:start w:val="1"/>
      <w:numFmt w:val="decimal"/>
      <w:lvlText w:val="%1.%2.%3.%4.%5.%6.%7.%8.%9"/>
      <w:lvlJc w:val="left"/>
      <w:pPr>
        <w:tabs>
          <w:tab w:val="left" w:pos="4777"/>
        </w:tabs>
        <w:ind w:left="4677" w:hanging="1700"/>
      </w:pPr>
      <w:rPr>
        <w:rFonts w:hint="eastAsia"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Q2M2FiNWYxYmI3ZGQ2NzkwMTYxYWMxY2NkYmNhNWIifQ=="/>
  </w:docVars>
  <w:rsids>
    <w:rsidRoot w:val="18480148"/>
    <w:rsid w:val="18480148"/>
    <w:rsid w:val="642F4B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paragraph" w:customStyle="1" w:styleId="4">
    <w:name w:val="二级无"/>
    <w:basedOn w:val="5"/>
    <w:qFormat/>
    <w:uiPriority w:val="0"/>
    <w:pPr>
      <w:spacing w:beforeLines="0" w:afterLines="0"/>
    </w:pPr>
    <w:rPr>
      <w:rFonts w:ascii="宋体" w:eastAsia="宋体"/>
    </w:rPr>
  </w:style>
  <w:style w:type="paragraph" w:customStyle="1" w:styleId="5">
    <w:name w:val="二级条标题"/>
    <w:basedOn w:val="6"/>
    <w:next w:val="7"/>
    <w:qFormat/>
    <w:uiPriority w:val="0"/>
    <w:pPr>
      <w:numPr>
        <w:ilvl w:val="2"/>
      </w:numPr>
      <w:spacing w:before="50" w:after="50"/>
      <w:outlineLvl w:val="3"/>
    </w:pPr>
  </w:style>
  <w:style w:type="paragraph" w:customStyle="1" w:styleId="6">
    <w:name w:val="一级条标题"/>
    <w:next w:val="7"/>
    <w:qFormat/>
    <w:uiPriority w:val="0"/>
    <w:pPr>
      <w:numPr>
        <w:ilvl w:val="1"/>
        <w:numId w:val="1"/>
      </w:numPr>
      <w:spacing w:beforeLines="50" w:afterLines="50"/>
      <w:outlineLvl w:val="2"/>
    </w:pPr>
    <w:rPr>
      <w:rFonts w:ascii="黑体" w:hAnsi="Times New Roman" w:eastAsia="黑体" w:cs="Times New Roman"/>
      <w:sz w:val="21"/>
      <w:szCs w:val="21"/>
      <w:lang w:val="en-US" w:eastAsia="zh-CN" w:bidi="ar-SA"/>
    </w:rPr>
  </w:style>
  <w:style w:type="paragraph" w:customStyle="1" w:styleId="7">
    <w:name w:val="段"/>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703</Words>
  <Characters>707</Characters>
  <Lines>0</Lines>
  <Paragraphs>0</Paragraphs>
  <TotalTime>168</TotalTime>
  <ScaleCrop>false</ScaleCrop>
  <LinksUpToDate>false</LinksUpToDate>
  <CharactersWithSpaces>707</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2022-05-09T01:52:00Z</dcterms:created>
  <dc:creator>心随我动</dc:creator>
  <cp:lastModifiedBy>心随我动</cp:lastModifiedBy>
  <dcterms:modified xsi:type="dcterms:W3CDTF">2022-08-30T09:33:15Z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4EB6A95925C14E1D800543EE08E184A0</vt:lpwstr>
  </property>
</Properties>
</file>