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center"/>
        <w:textAlignment w:val="auto"/>
        <w:rPr>
          <w:rFonts w:hint="eastAsia" w:ascii="仿宋" w:hAnsi="仿宋" w:eastAsia="仿宋"/>
          <w:b w:val="0"/>
          <w:bCs w:val="0"/>
          <w:spacing w:val="-51"/>
          <w:sz w:val="140"/>
          <w:szCs w:val="1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51"/>
          <w:w w:val="70"/>
          <w:kern w:val="0"/>
          <w:sz w:val="140"/>
          <w:szCs w:val="140"/>
          <w:lang w:val="en-US" w:eastAsia="zh-CN" w:bidi="ar"/>
        </w:rPr>
        <w:t>泰 安 长 城 中 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44"/>
          <w:szCs w:val="52"/>
          <w:lang w:val="en-US" w:eastAsia="zh-CN"/>
        </w:rPr>
      </w:pPr>
      <w:r>
        <w:rPr>
          <w:rStyle w:val="4"/>
          <w:rFonts w:ascii="宋体" w:hAnsi="宋体"/>
          <w:kern w:val="2"/>
          <w:sz w:val="32"/>
          <w:szCs w:val="32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72390</wp:posOffset>
                </wp:positionV>
                <wp:extent cx="5615940" cy="0"/>
                <wp:effectExtent l="0" t="20320" r="3810" b="368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12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1pt;margin-top:5.7pt;height:0pt;width:442.2pt;z-index:251659264;mso-width-relative:page;mso-height-relative:page;" filled="f" stroked="t" coordsize="21600,21600" o:gfxdata="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KIUg9cAAAAJAQAADwAAAAAAAAABACAAAAAiAAAAZHJzL2Rv&#10;d25yZXYueG1sUEsBAhQAFAAAAAgAh07iQC4nJT0CAgAA/QMAAA4AAAAAAAAAAQAgAAAAJgEAAGRy&#10;cy9lMm9Eb2MueG1sUEsFBgAAAAAGAAYAWQEAAJoFAAAAAA==&#10;">
                <v:fill on="f" focussize="0,0"/>
                <v:stroke weight="3.25pt" color="#FF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泰安长城中学新冠肺炎防控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应急处置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预案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(修订版）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通过体温监测、学生即时报告、老师（值班）日常观察等办法，发现师生出现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发热、干咳、乏力、咽痛、嗅（味）觉减退、腹泻等症状</w:t>
      </w:r>
      <w:r>
        <w:rPr>
          <w:rFonts w:hint="eastAsia" w:ascii="仿宋" w:hAnsi="仿宋" w:eastAsia="仿宋" w:cs="仿宋"/>
          <w:sz w:val="32"/>
          <w:szCs w:val="32"/>
        </w:rPr>
        <w:t>等症状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，立即按照此预案操作。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1、在门卫。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值班组长</w:t>
      </w:r>
      <w:r>
        <w:rPr>
          <w:rFonts w:hint="eastAsia" w:ascii="仿宋" w:hAnsi="仿宋" w:eastAsia="仿宋" w:cs="仿宋"/>
          <w:sz w:val="32"/>
          <w:szCs w:val="32"/>
        </w:rPr>
        <w:t>将学生带至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学校门口东</w:t>
      </w:r>
      <w:r>
        <w:rPr>
          <w:rFonts w:hint="eastAsia" w:ascii="仿宋" w:hAnsi="仿宋" w:eastAsia="仿宋" w:cs="仿宋"/>
          <w:sz w:val="32"/>
          <w:szCs w:val="32"/>
        </w:rPr>
        <w:t>临时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留观点</w:t>
      </w:r>
      <w:r>
        <w:rPr>
          <w:rFonts w:hint="eastAsia" w:ascii="仿宋" w:hAnsi="仿宋" w:eastAsia="仿宋" w:cs="仿宋"/>
          <w:sz w:val="32"/>
          <w:szCs w:val="32"/>
        </w:rPr>
        <w:t>，（不再进入校），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同时将测温通道封闭，通道内的学生带至学校东侧临时留观点，值班组长</w:t>
      </w:r>
      <w:r>
        <w:rPr>
          <w:rFonts w:hint="eastAsia" w:ascii="仿宋" w:hAnsi="仿宋" w:eastAsia="仿宋" w:cs="仿宋"/>
          <w:sz w:val="32"/>
          <w:szCs w:val="32"/>
        </w:rPr>
        <w:t>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班主任穿防护服到临时留观点</w:t>
      </w:r>
      <w:r>
        <w:rPr>
          <w:rFonts w:hint="eastAsia" w:ascii="仿宋" w:hAnsi="仿宋" w:eastAsia="仿宋" w:cs="仿宋"/>
          <w:sz w:val="32"/>
          <w:szCs w:val="32"/>
        </w:rPr>
        <w:t>带离学校到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山东第一医科大学第二附属医院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5号楼</w:t>
      </w:r>
      <w:r>
        <w:rPr>
          <w:rFonts w:hint="eastAsia" w:ascii="仿宋" w:hAnsi="仿宋" w:eastAsia="仿宋" w:cs="仿宋"/>
          <w:sz w:val="32"/>
          <w:szCs w:val="32"/>
        </w:rPr>
        <w:t>发热门诊就诊，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并由班主任陪同在就诊医院留观，直至出来核酸结果，</w:t>
      </w:r>
      <w:r>
        <w:rPr>
          <w:rFonts w:hint="eastAsia" w:ascii="仿宋" w:hAnsi="仿宋" w:eastAsia="仿宋" w:cs="仿宋"/>
          <w:sz w:val="32"/>
          <w:szCs w:val="32"/>
        </w:rPr>
        <w:t>医院排除学生疫情后，根据医院出具证明材料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，症状小时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48小时后方可</w:t>
      </w:r>
      <w:r>
        <w:rPr>
          <w:rFonts w:hint="eastAsia" w:ascii="仿宋" w:hAnsi="仿宋" w:eastAsia="仿宋" w:cs="仿宋"/>
          <w:sz w:val="32"/>
          <w:szCs w:val="32"/>
        </w:rPr>
        <w:t>正常复学。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如果核酸结果异常，立即报告总指挥，启动《泰安长城中学新冠疫情防控应急处置一级响应方案》。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2、在校园（教室、宿舍等）。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班主任（宿舍值班人员）穿防护服</w:t>
      </w:r>
      <w:r>
        <w:rPr>
          <w:rFonts w:hint="eastAsia" w:ascii="仿宋" w:hAnsi="仿宋" w:eastAsia="仿宋" w:cs="仿宋"/>
          <w:sz w:val="32"/>
          <w:szCs w:val="32"/>
        </w:rPr>
        <w:t>将学生带到学校临时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留观点</w:t>
      </w:r>
      <w:r>
        <w:rPr>
          <w:rFonts w:hint="eastAsia" w:ascii="仿宋" w:hAnsi="仿宋" w:eastAsia="仿宋" w:cs="仿宋"/>
          <w:sz w:val="32"/>
          <w:szCs w:val="32"/>
        </w:rPr>
        <w:t>暂时隔离，年级主任上报学校学生详细情况，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班主任穿防护服</w:t>
      </w:r>
      <w:r>
        <w:rPr>
          <w:rFonts w:hint="eastAsia" w:ascii="仿宋" w:hAnsi="仿宋" w:eastAsia="仿宋" w:cs="仿宋"/>
          <w:sz w:val="32"/>
          <w:szCs w:val="32"/>
        </w:rPr>
        <w:t>带离学校到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山东第一医科大学第二附属医院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5号楼</w:t>
      </w:r>
      <w:r>
        <w:rPr>
          <w:rFonts w:hint="eastAsia" w:ascii="仿宋" w:hAnsi="仿宋" w:eastAsia="仿宋" w:cs="仿宋"/>
          <w:sz w:val="32"/>
          <w:szCs w:val="32"/>
        </w:rPr>
        <w:t>发热门诊就诊，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由班主任陪同在就诊医院留观，同时该学生所在班级的所有学生由年级组织在本班相对隔离，年级指派一名副主任做好个人防护的前提下进入该班级陪护学生，要求全体学生佩戴口罩，学校疫情防控应急小组立即到位，在该班级设置隔离区域，该班级学生和其他班级学生错时下课，如有学生如厕，总务处消毒人员跟进消毒，并做好相对隔离班级师生就餐、饮水，并做好消毒，直至出来核酸结果，</w:t>
      </w:r>
      <w:r>
        <w:rPr>
          <w:rFonts w:hint="eastAsia" w:ascii="仿宋" w:hAnsi="仿宋" w:eastAsia="仿宋" w:cs="仿宋"/>
          <w:sz w:val="32"/>
          <w:szCs w:val="32"/>
        </w:rPr>
        <w:t>医院排除学生疫情后，根据医院出具证明材料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，症状小时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48小时后方可</w:t>
      </w:r>
      <w:r>
        <w:rPr>
          <w:rFonts w:hint="eastAsia" w:ascii="仿宋" w:hAnsi="仿宋" w:eastAsia="仿宋" w:cs="仿宋"/>
          <w:sz w:val="32"/>
          <w:szCs w:val="32"/>
        </w:rPr>
        <w:t>正常复学。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如果核酸结果异常，立即报告总指挥，启动《泰安长城中学新冠疫情防控应急处置一级响应方案》。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3、教职工出现以上情况，参照学生办法处置。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注意事项：去定点医院就医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不能</w:t>
      </w:r>
      <w:r>
        <w:rPr>
          <w:rFonts w:hint="eastAsia" w:ascii="仿宋" w:hAnsi="仿宋" w:eastAsia="仿宋" w:cs="仿宋"/>
          <w:sz w:val="32"/>
          <w:szCs w:val="32"/>
        </w:rPr>
        <w:t>公共交通工具，全程佩戴医用口罩，尽可能少接触其他人员。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4、</w:t>
      </w:r>
      <w:r>
        <w:rPr>
          <w:rFonts w:hint="eastAsia" w:ascii="仿宋" w:hAnsi="仿宋" w:eastAsia="仿宋" w:cs="仿宋"/>
          <w:sz w:val="32"/>
          <w:szCs w:val="32"/>
        </w:rPr>
        <w:t>联系电话：韩 峰（办公室主任）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（疫情报告人）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 xml:space="preserve">         陈长征（政教处主任）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（宿舍报告人）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 xml:space="preserve">        周晓亮（总务处主任）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（餐厅报告人）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刘国梁</w:t>
      </w:r>
      <w:r>
        <w:rPr>
          <w:rFonts w:hint="eastAsia" w:ascii="仿宋" w:hAnsi="仿宋" w:eastAsia="仿宋" w:cs="仿宋"/>
          <w:sz w:val="32"/>
          <w:szCs w:val="32"/>
        </w:rPr>
        <w:t>（安保科主任）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（门口报告人）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 xml:space="preserve">        姚光洁（高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年级主任）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 xml:space="preserve">        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大门</w:t>
      </w:r>
      <w:r>
        <w:rPr>
          <w:rFonts w:hint="eastAsia" w:ascii="仿宋" w:hAnsi="仿宋" w:eastAsia="仿宋" w:cs="仿宋"/>
          <w:sz w:val="32"/>
          <w:szCs w:val="32"/>
        </w:rPr>
        <w:t>临时留观室：学校门卫西侧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 xml:space="preserve">        学校临时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留观点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卓越楼</w:t>
      </w:r>
      <w:r>
        <w:rPr>
          <w:rFonts w:hint="eastAsia" w:ascii="仿宋" w:hAnsi="仿宋" w:eastAsia="仿宋" w:cs="仿宋"/>
          <w:sz w:val="32"/>
          <w:szCs w:val="32"/>
        </w:rPr>
        <w:t>一楼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西二，西三、卓越楼一楼中、男生宿舍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4楼419，女生宿舍1楼123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泰安长城中学</w:t>
      </w:r>
    </w:p>
    <w:p>
      <w:pPr>
        <w:numPr>
          <w:ilvl w:val="0"/>
          <w:numId w:val="0"/>
        </w:numPr>
        <w:ind w:firstLine="5440" w:firstLineChars="17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2022年3月26日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C11417-59A3-46F3-9268-F0E63408DE0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6AF827-C419-4FB8-AC04-A0AD3E8976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5E02626-82AE-455C-B87A-A27D4E7C46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ODQyYTQwMDc0MzRhZGVkODhkZDlmZjZkZjljZTYifQ=="/>
  </w:docVars>
  <w:rsids>
    <w:rsidRoot w:val="007B150B"/>
    <w:rsid w:val="00133D1E"/>
    <w:rsid w:val="00167E08"/>
    <w:rsid w:val="00242F34"/>
    <w:rsid w:val="007B150B"/>
    <w:rsid w:val="074669B9"/>
    <w:rsid w:val="09047D11"/>
    <w:rsid w:val="0F952439"/>
    <w:rsid w:val="13757775"/>
    <w:rsid w:val="167263F0"/>
    <w:rsid w:val="3CAA7E28"/>
    <w:rsid w:val="3D443BE7"/>
    <w:rsid w:val="45132C72"/>
    <w:rsid w:val="509818CD"/>
    <w:rsid w:val="597779FA"/>
    <w:rsid w:val="60100CF2"/>
    <w:rsid w:val="625D1C02"/>
    <w:rsid w:val="6DB773AF"/>
    <w:rsid w:val="791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890</Words>
  <Characters>950</Characters>
  <Lines>8</Lines>
  <Paragraphs>2</Paragraphs>
  <TotalTime>3</TotalTime>
  <ScaleCrop>false</ScaleCrop>
  <LinksUpToDate>false</LinksUpToDate>
  <CharactersWithSpaces>1020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2020-03-17T09:50:00Z</dcterms:created>
  <dc:creator>Administrator</dc:creator>
  <cp:lastModifiedBy>泰山脚下的风</cp:lastModifiedBy>
  <cp:lastPrinted>2020-04-12T03:40:00Z</cp:lastPrinted>
  <dcterms:modified xsi:type="dcterms:W3CDTF">2022-09-28T07:04:17Z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719A9C72C6B24067A42C3E81B68FBF84</vt:lpwstr>
  </property>
</Properties>
</file>